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10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56"/>
        <w:gridCol w:w="156"/>
        <w:gridCol w:w="198"/>
      </w:tblGrid>
      <w:tr>
        <w:trPr/>
        <w:tc>
          <w:tcPr>
            <w:tcW w:w="156" w:type="dxa"/>
            <w:tcBorders/>
            <w:shd w:fill="auto" w:val="clear"/>
          </w:tcPr>
          <w:p>
            <w:pPr>
              <w:pStyle w:val="Normal"/>
              <w:spacing w:before="280" w:after="280"/>
              <w:ind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56" w:type="dxa"/>
            <w:tcBorders/>
            <w:shd w:fill="auto" w:val="clear"/>
          </w:tcPr>
          <w:p>
            <w:pPr>
              <w:pStyle w:val="Normal"/>
              <w:spacing w:before="280" w:after="28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" w:type="dxa"/>
            <w:tcBorders/>
            <w:shd w:fill="auto" w:val="clear"/>
          </w:tcPr>
          <w:p>
            <w:pPr>
              <w:pStyle w:val="Normal"/>
              <w:spacing w:before="280" w:after="280"/>
              <w:ind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Дорожная карта (план мероприятий)</w:t>
      </w:r>
      <w:r>
        <w:rPr>
          <w:sz w:val="28"/>
          <w:szCs w:val="28"/>
          <w:lang w:val="ru-RU"/>
        </w:rPr>
        <w:br/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rFonts w:cs="Times New Roman"/>
          <w:b/>
          <w:bCs/>
          <w:color w:val="000000"/>
          <w:sz w:val="28"/>
          <w:szCs w:val="28"/>
        </w:rPr>
        <w:t> 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МБОУ СОШ № 1 им. Б.П.Юркова на 2023-2024 у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ч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.г.</w:t>
      </w:r>
    </w:p>
    <w:p>
      <w:pPr>
        <w:pStyle w:val="Normal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tbl>
      <w:tblPr>
        <w:tblW w:w="905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600"/>
      </w:tblPr>
      <w:tblGrid>
        <w:gridCol w:w="690"/>
        <w:gridCol w:w="4309"/>
        <w:gridCol w:w="1570"/>
        <w:gridCol w:w="2487"/>
      </w:tblGrid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0" w:after="28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0" w:after="28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0" w:after="28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80" w:after="28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 МБОУ СОШ № 1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2023/24 учебном году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2023/24учебном году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Издание приказов:</w:t>
            </w:r>
          </w:p>
          <w:p>
            <w:pPr>
              <w:pStyle w:val="Normal"/>
              <w:numPr>
                <w:ilvl w:val="0"/>
                <w:numId w:val="1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>
            <w:pPr>
              <w:pStyle w:val="Normal"/>
              <w:numPr>
                <w:ilvl w:val="0"/>
                <w:numId w:val="1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 порядке окончания 2023/24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>
            <w:pPr>
              <w:pStyle w:val="Normal"/>
              <w:numPr>
                <w:ilvl w:val="0"/>
                <w:numId w:val="1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обучающимся 9-х и 11-х классов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before="280" w:after="28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 МБОУ СОШ № 1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9-го класса ОО в ППЭ при проведении государственной итоговой аттестации по программам основного общего образования в 2024 году, ознакомление учеников и их родителей (законных представителей) с организационной схемой прибытия участников ОГЭ  в ППЭ и обратно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 образования в 2024 году, ознакомление учеников и их родителей (законных представителей)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предметные  комиссии в качестве экспертов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ГИА-2023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ГИА-2023:</w:t>
            </w:r>
          </w:p>
          <w:p>
            <w:pPr>
              <w:pStyle w:val="Normal"/>
              <w:numPr>
                <w:ilvl w:val="0"/>
                <w:numId w:val="2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обсуждение результатов ГИА-2023;</w:t>
            </w:r>
          </w:p>
          <w:p>
            <w:pPr>
              <w:pStyle w:val="Normal"/>
              <w:numPr>
                <w:ilvl w:val="0"/>
                <w:numId w:val="2"/>
              </w:numPr>
              <w:spacing w:before="280" w:after="280"/>
              <w:ind w:left="780" w:right="180" w:hanging="36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занятости выпускников 2023 года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ГИА-2024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Сергеева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9-х и 11-х классов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r>
              <w:rPr>
                <w:rFonts w:cs="Times New Roman"/>
                <w:color w:val="000000"/>
                <w:sz w:val="24"/>
                <w:szCs w:val="24"/>
              </w:rPr>
              <w:t>Посещение уроков с целью мониторинга системы повторения учебного материала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9х-11го кл.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Сентябрь–декабрь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>
            <w:pPr>
              <w:pStyle w:val="Normal"/>
              <w:numPr>
                <w:ilvl w:val="0"/>
                <w:numId w:val="3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>
            <w:pPr>
              <w:pStyle w:val="Normal"/>
              <w:numPr>
                <w:ilvl w:val="0"/>
                <w:numId w:val="3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индивидуальное или групповое консультирование обучающихся;</w:t>
            </w:r>
          </w:p>
          <w:p>
            <w:pPr>
              <w:pStyle w:val="Normal"/>
              <w:numPr>
                <w:ilvl w:val="0"/>
                <w:numId w:val="3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консультирование родителей;</w:t>
            </w:r>
          </w:p>
          <w:p>
            <w:pPr>
              <w:pStyle w:val="Normal"/>
              <w:numPr>
                <w:ilvl w:val="0"/>
                <w:numId w:val="3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>
            <w:pPr>
              <w:pStyle w:val="Normal"/>
              <w:numPr>
                <w:ilvl w:val="0"/>
                <w:numId w:val="3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>
            <w:pPr>
              <w:pStyle w:val="Normal"/>
              <w:numPr>
                <w:ilvl w:val="0"/>
                <w:numId w:val="3"/>
              </w:numPr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>
            <w:pPr>
              <w:pStyle w:val="Normal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9х-11го классов.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Информационное обеспечение ГИА-2024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>
            <w:pPr>
              <w:pStyle w:val="Normal"/>
              <w:numPr>
                <w:ilvl w:val="0"/>
                <w:numId w:val="4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>
            <w:pPr>
              <w:pStyle w:val="Normal"/>
              <w:numPr>
                <w:ilvl w:val="0"/>
                <w:numId w:val="4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>
            <w:pPr>
              <w:pStyle w:val="Normal"/>
              <w:numPr>
                <w:ilvl w:val="0"/>
                <w:numId w:val="4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предметная подготовка к ГИА-2024;</w:t>
            </w:r>
          </w:p>
          <w:p>
            <w:pPr>
              <w:pStyle w:val="Normal"/>
              <w:numPr>
                <w:ilvl w:val="0"/>
                <w:numId w:val="4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>
            <w:pPr>
              <w:pStyle w:val="Normal"/>
              <w:numPr>
                <w:ilvl w:val="0"/>
                <w:numId w:val="4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Цыганкова И.Р. классные руководители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>
            <w:pPr>
              <w:pStyle w:val="Normal"/>
              <w:numPr>
                <w:ilvl w:val="0"/>
                <w:numId w:val="5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>
            <w:pPr>
              <w:pStyle w:val="Normal"/>
              <w:numPr>
                <w:ilvl w:val="0"/>
                <w:numId w:val="5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ГИА-2024;</w:t>
            </w:r>
          </w:p>
          <w:p>
            <w:pPr>
              <w:pStyle w:val="Normal"/>
              <w:numPr>
                <w:ilvl w:val="0"/>
                <w:numId w:val="5"/>
              </w:numPr>
              <w:spacing w:before="280" w:after="0"/>
              <w:ind w:left="780" w:right="180" w:hanging="360"/>
              <w:contextualSpacing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предметная подготовка к ГИА-2024;</w:t>
            </w:r>
          </w:p>
          <w:p>
            <w:pPr>
              <w:pStyle w:val="Normal"/>
              <w:numPr>
                <w:ilvl w:val="0"/>
                <w:numId w:val="5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>
            <w:pPr>
              <w:pStyle w:val="Normal"/>
              <w:numPr>
                <w:ilvl w:val="0"/>
                <w:numId w:val="5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Цыганкова И.Р. классные руководители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lang w:val="ru-RU"/>
              </w:rPr>
              <w:t xml:space="preserve">Директор школы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«ГИА-2024»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 ответственный за сайт Самохина С.В.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Оформление информационного стенда «ГИА-2024»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11-го класса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учеников 9-го класса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9-го класса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9-го и 11-го классов:</w:t>
            </w:r>
          </w:p>
          <w:p>
            <w:pPr>
              <w:pStyle w:val="Normal"/>
              <w:numPr>
                <w:ilvl w:val="0"/>
                <w:numId w:val="6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регистрация на экзамены;</w:t>
            </w:r>
          </w:p>
          <w:p>
            <w:pPr>
              <w:pStyle w:val="Normal"/>
              <w:numPr>
                <w:ilvl w:val="0"/>
                <w:numId w:val="6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>
            <w:pPr>
              <w:pStyle w:val="Normal"/>
              <w:numPr>
                <w:ilvl w:val="0"/>
                <w:numId w:val="6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>
            <w:pPr>
              <w:pStyle w:val="Normal"/>
              <w:numPr>
                <w:ilvl w:val="0"/>
                <w:numId w:val="6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9 и 11 классов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 и 11 классов:</w:t>
            </w:r>
          </w:p>
          <w:p>
            <w:pPr>
              <w:pStyle w:val="Normal"/>
              <w:numPr>
                <w:ilvl w:val="0"/>
                <w:numId w:val="7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регистрация на экзамены;</w:t>
            </w:r>
          </w:p>
          <w:p>
            <w:pPr>
              <w:pStyle w:val="Normal"/>
              <w:numPr>
                <w:ilvl w:val="0"/>
                <w:numId w:val="7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>
            <w:pPr>
              <w:pStyle w:val="Normal"/>
              <w:numPr>
                <w:ilvl w:val="0"/>
                <w:numId w:val="7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Цыганкова И.Р. классные руководители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 и 11 классов по вопросам организации и проведения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 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ГИА-2024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2024 году из числа:</w:t>
            </w:r>
          </w:p>
          <w:p>
            <w:pPr>
              <w:pStyle w:val="Normal"/>
              <w:numPr>
                <w:ilvl w:val="0"/>
                <w:numId w:val="8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>
            <w:pPr>
              <w:pStyle w:val="Normal"/>
              <w:numPr>
                <w:ilvl w:val="0"/>
                <w:numId w:val="8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аудиторий ППЭ;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членов ГЭК;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организаторов ППЭ;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технических специалистов ППЭ;</w:t>
            </w:r>
          </w:p>
          <w:p>
            <w:pPr>
              <w:pStyle w:val="Normal"/>
              <w:numPr>
                <w:ilvl w:val="0"/>
                <w:numId w:val="9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членов предметных комиссий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Цыганкова И.Р.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Техническое оснащение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ППЭ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 и 11 классов, необходимых для осуществления регистрации для участия в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Цыганкова И.Р. классные руководители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 и 11 классов учебных предметов для прохождения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Выверка назначения учеников 11-го класса на итоговое сочинение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литературы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 и 11 классов, желающих пройти ГИА в досрочный период, подготовка пакета документов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numPr>
                <w:ilvl w:val="0"/>
                <w:numId w:val="10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>
            <w:pPr>
              <w:pStyle w:val="Normal"/>
              <w:numPr>
                <w:ilvl w:val="0"/>
                <w:numId w:val="10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>
            <w:pPr>
              <w:pStyle w:val="Normal"/>
              <w:numPr>
                <w:ilvl w:val="0"/>
                <w:numId w:val="10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>
            <w:pPr>
              <w:pStyle w:val="Normal"/>
              <w:numPr>
                <w:ilvl w:val="0"/>
                <w:numId w:val="10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>
            <w:pPr>
              <w:pStyle w:val="Normal"/>
              <w:numPr>
                <w:ilvl w:val="0"/>
                <w:numId w:val="10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>
            <w:pPr>
              <w:pStyle w:val="Normal"/>
              <w:numPr>
                <w:ilvl w:val="0"/>
                <w:numId w:val="11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9-го класса;</w:t>
            </w:r>
          </w:p>
          <w:p>
            <w:pPr>
              <w:pStyle w:val="Normal"/>
              <w:numPr>
                <w:ilvl w:val="0"/>
                <w:numId w:val="11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обучающихся к итоговому собеседованию;</w:t>
            </w:r>
          </w:p>
          <w:p>
            <w:pPr>
              <w:pStyle w:val="Normal"/>
              <w:numPr>
                <w:ilvl w:val="0"/>
                <w:numId w:val="11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numPr>
                <w:ilvl w:val="0"/>
                <w:numId w:val="11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Декабрь–май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Учителя -предметники</w:t>
            </w:r>
          </w:p>
          <w:p>
            <w:pPr>
              <w:pStyle w:val="Normal"/>
              <w:spacing w:before="280" w:after="28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  класса с ограниченными возможностями здоровья для участия в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Выверка назначения учеников 9-х и 11-х классов классов на экзамены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Февраль–июнь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 и 11 классов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участия учеников 9 и 11 классов в основном периоде ГИА (в соответствии с расписанием)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ГИА-2024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Внутришкольные диагностические работы по предметам учебного плана:</w:t>
            </w:r>
          </w:p>
          <w:p>
            <w:pPr>
              <w:pStyle w:val="Normal"/>
              <w:numPr>
                <w:ilvl w:val="0"/>
                <w:numId w:val="12"/>
              </w:numPr>
              <w:spacing w:before="280" w:after="0"/>
              <w:ind w:left="780" w:right="180" w:hanging="36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 и 11 классы;</w:t>
            </w:r>
          </w:p>
          <w:p>
            <w:pPr>
              <w:pStyle w:val="Normal"/>
              <w:numPr>
                <w:ilvl w:val="0"/>
                <w:numId w:val="12"/>
              </w:numPr>
              <w:spacing w:before="280" w:after="280"/>
              <w:ind w:left="780" w:right="180" w:hanging="3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ВПР – 9 класс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И.Р.и учителя-предметники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Ноябрь, февраль, апрель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 и 11 классов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Ноябрь, январь, апрель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 для внесения в базу данных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ь- апрель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Формирование списков для обучения экспертов предметных комиссий ГИА-9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Январь–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ГИА-9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Инструктаж организаторов в ППЭ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явки обучающихся 9 и 11 классов на экзамен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  <w:tr>
        <w:trPr/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2025 учебном году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75" w:type="dxa"/>
              <w:left w:w="43" w:type="dxa"/>
              <w:bottom w:w="75" w:type="dxa"/>
              <w:right w:w="75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jc w:val="left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Заместитель директора по УВР Цыганкова И.Р.</w:t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4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4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4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4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4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4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4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4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4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4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4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4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4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4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4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4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4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4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4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4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9A31-079D-4F50-AE53-5EF20416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LibreOffice/6.1.3.2$Windows_x86 LibreOffice_project/86daf60bf00efa86ad547e59e09d6bb77c699acb</Application>
  <Pages>13</Pages>
  <Words>1777</Words>
  <Characters>11841</Characters>
  <CharactersWithSpaces>13318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2023-10-23T13:05:40Z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